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Ficha de condiciones de un bolo</w:t>
      </w:r>
    </w:p>
    <w:p>
      <w:pPr>
        <w:spacing w:after="100"/>
      </w:pPr>
      <w:r>
        <w:rPr>
          <w:b/>
          <w:bCs/>
          <w:color w:val="BE185D"/>
        </w:rPr>
        <w:t xml:space="preserve">Para preparar y revisar el acuerdo antes de confirmar la fecha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100"/>
            </w:pPr>
            <w:r>
              <w:rPr>
                <w:color w:val="6B7280"/>
              </w:rPr>
              <w:t xml:space="preserve">Esta ficha es una hoja preparatoria: reúne las condiciones para negociar y revisar el documento adecuado. No es un contrato laboral completo ni garantiza validez jurídica. Si la relación es laboral (Real Decreto 1435/1985), debe formalizarse por escrito con el contrato correspondiente. Ante dudas fiscales, laborales o de Seguridad Social, consulta con un profesional.</w:t>
            </w:r>
          </w:p>
        </w:tc>
      </w:tr>
    </w:tbl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200"/>
        <w:gridCol w:w="3726"/>
      </w:tblGrid>
      <w:tr>
        <w:trPr>
          <w:tblHeader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CE7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11827"/>
              </w:rPr>
              <w:t xml:space="preserve">Campo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CE7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11827"/>
              </w:rPr>
              <w:t xml:space="preserve">Qué hay que concretar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CE7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11827"/>
              </w:rPr>
              <w:t xml:space="preserve">Acordado (rellenar)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Partes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Nombre legal, identificación y persona con capacidad para contratar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Relación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Laboral o prestación independiente (pendiente de comprobación si hay dudas)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Evento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Nombre, fecha, dirección y responsable de producción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Formación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Artistas participantes y sustituciones que deban acordarse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Horarios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Llegada, montaje, prueba, actuación, descansos y salida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Actuación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Duración, pases y repertorio o formato acordado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Importe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Remuneración y conceptos incluidos; tratamiento fiscal que corresponda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Pago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Anticipo si se pacta, saldo, vencimientos y medio de pago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Gastos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Transporte, alojamiento, dietas, equipo y responsable de cada concepto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Técnica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Rider con versión y fecha; quién aporta sonido, personal y backline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Cambios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Procedimiento para modificar fecha, horario o formación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Cancelación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Supuestos, avisos, gastos acreditados y consecuencias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Imagen y grabación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Si se autorizan: usos, duración, canales y remuneración pactada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</w:rPr>
              <w:t xml:space="preserve">Cierre</w:t>
            </w:r>
          </w:p>
        </w:tc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Documentos anexos, fecha, firmas y copia para cada parte</w:t>
            </w:r>
          </w:p>
        </w:tc>
        <w:tc>
          <w:tcPr>
            <w:tcW w:type="dxa" w:w="3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</w:pPr>
      <w:r>
        <w:t xml:space="preserve">Antes de confirmar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280"/>
        </w:rPr>
        <w:t xml:space="preserve">No dejes importes ni condiciones relevantes en blanco.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280"/>
        </w:rPr>
        <w:t xml:space="preserve">Si alguien firma en nombre de la banda, aclara a quién representa y con qué facultades.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280"/>
        </w:rPr>
        <w:t xml:space="preserve">Adjunta el rider técnico con su versión y fecha, y deja constancia de quién acepta cada cambio.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280"/>
        </w:rPr>
        <w:t xml:space="preserve">Separa remuneración y gastos: «total concierto» no basta.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280"/>
        </w:rPr>
        <w:t xml:space="preserve">Grabar, emitir o usar fragmentos en publicidad requiere acordar usos, canales y duración.</w:t>
      </w:r>
    </w:p>
    <w:p>
      <w:pPr>
        <w:spacing w:before="240"/>
      </w:pPr>
      <w:r>
        <w:rPr>
          <w:b/>
          <w:bCs/>
        </w:rPr>
        <w:t xml:space="preserve">Fecha y firmas: </w:t>
      </w:r>
      <w:r>
        <w:rPr>
          <w:color w:val="6B7280"/>
        </w:rPr>
        <w:t xml:space="preserve">[lugar, fecha y firma de cada parte]</w:t>
      </w:r>
    </w:p>
    <w:sectPr>
      <w:footerReference w:type="default" r:id="rId6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Plantilla gratuita de GrooveHub · groovehubmusic.com/blog/el-contrato-de-bolo-que-debe-incluir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</w:pPr>
    <w:rPr>
      <w:b/>
      <w:bCs/>
      <w:color w:val="111827"/>
      <w:sz w:val="34"/>
      <w:szCs w:val="34"/>
    </w:rPr>
  </w:style>
  <w:style w:type="paragraph" w:styleId="Heading2">
    <w:name w:val="Heading 2"/>
    <w:basedOn w:val="Normal"/>
    <w:next w:val="Normal"/>
    <w:qFormat/>
    <w:pPr>
      <w:pBdr>
        <w:bottom w:val="single" w:color="F9A8D4" w:sz="6" w:space="2"/>
      </w:pBdr>
      <w:spacing w:after="80" w:before="280"/>
    </w:pPr>
    <w:rPr>
      <w:b/>
      <w:bCs/>
      <w:caps/>
      <w:color w:val="BE185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condiciones de un bolo</dc:title>
  <dc:creator>GrooveHub</dc:creator>
  <cp:lastModifiedBy>Un-named</cp:lastModifiedBy>
  <cp:revision>1</cp:revision>
  <dcterms:created xsi:type="dcterms:W3CDTF">2026-11-01T01:34:11.719Z</dcterms:created>
  <dcterms:modified xsi:type="dcterms:W3CDTF">2026-11-01T01:34:11.719Z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